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2E" w:rsidRPr="009B362E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62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B362E" w:rsidRPr="009B362E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62E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9B362E" w:rsidRPr="009B362E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62E">
        <w:rPr>
          <w:rFonts w:ascii="Times New Roman" w:eastAsia="Times New Roman" w:hAnsi="Times New Roman" w:cs="Times New Roman"/>
          <w:sz w:val="28"/>
          <w:szCs w:val="28"/>
        </w:rPr>
        <w:t>УСТЬ – УДИНСКИЙ РАЙОН</w:t>
      </w:r>
    </w:p>
    <w:p w:rsidR="009B362E" w:rsidRPr="009B362E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62E">
        <w:rPr>
          <w:rFonts w:ascii="Times New Roman" w:eastAsia="Times New Roman" w:hAnsi="Times New Roman" w:cs="Times New Roman"/>
          <w:sz w:val="28"/>
          <w:szCs w:val="28"/>
        </w:rPr>
        <w:t>ИГЖЕЙСКОЕ МУНИЦИПАЛЬНОЕ ОБРАЗОВАНИЕ</w:t>
      </w:r>
    </w:p>
    <w:p w:rsidR="009B362E" w:rsidRPr="009B362E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62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B362E" w:rsidRPr="009B362E" w:rsidRDefault="009B362E" w:rsidP="009B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E" w:rsidRPr="009B362E" w:rsidRDefault="009B362E" w:rsidP="009B362E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«21» июля 2016 года                                                                                          № 37</w:t>
      </w:r>
    </w:p>
    <w:p w:rsidR="009B362E" w:rsidRDefault="009B362E" w:rsidP="009B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нормативов финансовых затрат </w:t>
      </w:r>
    </w:p>
    <w:p w:rsidR="009B362E" w:rsidRPr="009B362E" w:rsidRDefault="009B362E" w:rsidP="009B36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капитальный ремонт, содержание автомобильных дорог общего пользования местного значения и правил расчета размера ассигнований местного бюджета </w:t>
      </w:r>
      <w:proofErr w:type="spellStart"/>
      <w:r w:rsidRPr="009B3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Игжейского</w:t>
      </w:r>
      <w:proofErr w:type="spellEnd"/>
      <w:r w:rsidRPr="009B3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указанные цели</w:t>
      </w:r>
    </w:p>
    <w:p w:rsidR="009B362E" w:rsidRPr="009B362E" w:rsidRDefault="009B362E" w:rsidP="009B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 "Об общих принципах организации местного самоуправления в РФ", Федеральным законом от 08.11.2008г.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целях эффективного и рационального использования бюджетных средств выделяемых для капитального ремонта, ремонта и </w:t>
      </w:r>
      <w:proofErr w:type="gramStart"/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автомобильных дорог местного значения, руководствуясь Уставом </w:t>
      </w:r>
      <w:proofErr w:type="spellStart"/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9B362E" w:rsidRPr="009B362E" w:rsidRDefault="009B362E" w:rsidP="009B36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нормативы финансовых затрат на капитальный ремонт, содержание автомобильных дорог общего пользования местного значения и правил расчета размера ассигнований местного бюджета </w:t>
      </w:r>
      <w:proofErr w:type="spellStart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указанные цели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. (Приложение № 1)</w:t>
      </w:r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и приложение к нему  в информационном издании «Вестник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РМО «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"/>
      <w:bookmarkEnd w:id="0"/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9B3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    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Г.В. Суркова</w:t>
      </w: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bookmarkStart w:id="1" w:name="_GoBack"/>
      <w:bookmarkEnd w:id="1"/>
    </w:p>
    <w:p w:rsidR="009B362E" w:rsidRPr="009B362E" w:rsidRDefault="009B362E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B362E" w:rsidRPr="009B362E" w:rsidRDefault="009B362E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9B362E" w:rsidRPr="009B362E" w:rsidRDefault="009B362E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</w:t>
      </w: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B362E" w:rsidRPr="009B362E" w:rsidRDefault="009B362E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«21» июля 2016 год № 37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62E" w:rsidRPr="009B362E" w:rsidRDefault="009B362E" w:rsidP="009B36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9B362E" w:rsidRPr="009B362E" w:rsidRDefault="009B362E" w:rsidP="009B36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финансовых затрат на капитальный ремонт, содержание автомобильных дорог общего пользования местного значения и правил расчета размера ассигнований местного бюджета </w:t>
      </w:r>
      <w:proofErr w:type="spellStart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указанные цели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1. Нормативы финансовых затрат применяются для определения размера ассигнований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предусматриваемых на капитальный ремонт, ремонт и содержание автомобильных дорог общего пользования  местного значения (далее – автомобильные дороги) на очередной финансовый год и плановый период.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Нприв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ап.рем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Нприв.рем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Нприв.сод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>.), рассчитываемые по формуле: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= Н x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Кдеф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x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Ккат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.,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установленный норматив финансовых затрат на капитальный ремонт, ремонт и содержание и ремонт автомобильных дорог V категории;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Кдеф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социально-экономического развития и учитываемые при формировании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 и плановый период;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Ккат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9B362E" w:rsidRPr="009B362E" w:rsidRDefault="009B362E" w:rsidP="009B362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Коэффициенты, учитывающие дифференциацию стоимости работ</w:t>
      </w:r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капитальному ремонту, ремонту и содержанию </w:t>
      </w:r>
      <w:proofErr w:type="gramStart"/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автомобильных</w:t>
      </w:r>
      <w:proofErr w:type="gramEnd"/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дорог по соответствующим категориям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3000"/>
        <w:gridCol w:w="1200"/>
        <w:gridCol w:w="1320"/>
        <w:gridCol w:w="1200"/>
        <w:gridCol w:w="1200"/>
        <w:gridCol w:w="660"/>
      </w:tblGrid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N </w:t>
            </w: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Вид работы       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Категория автомобильной дороги      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I  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II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III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IV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V 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3,67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1,82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1,66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1,46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    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2,91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1,52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1,46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1,37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2,03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1,28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1,14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1,05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  </w:t>
            </w:r>
          </w:p>
        </w:tc>
      </w:tr>
    </w:tbl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3. Определение размера ассигнований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капитальный ремонт, ремонт, содержание автомобильных дорог осуществляется по формулам: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рем. =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кап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Х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gramEnd"/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азмер ассигнований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выполнение работ по капитальному ремонту автомобильных дорог каждой категории (тыс. рублей);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кап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>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=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рем. x </w:t>
      </w:r>
      <w:proofErr w:type="spellStart"/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.,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размер ассигнований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выполнение работ по ремонту автомобильных дорог каждой категории (тыс. рублей);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расчетная протяженность автомобильных дорог каждой категории, подлежащей ремонту на год планирования.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Общая потребность в ассигнованиях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4. Расчет размера ассигнований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содержание автомобильных дорог осуществляется по формуле: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Асод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=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сод. x L,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Асод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размер ассигнований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выполнение работ по содержанию автомобильных дорог каждой категории (тыс. рублей);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сод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Общая потребность в ассигнованиях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выполнение работ по содержанию автомобильных дорог определяется как сумма ассигнований из бюджета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выполнение работ по содержанию автомобильных дорог по всем категориям автомобильных дорог.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5. Суммарная годовая потребность в ассигнованиях из бюджета поселения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6. Протяженность автомобильных дорог каждой категории в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Игжейском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поселении, подлежащих капитальному ремонту и ремонту  на год планирования, определяется на основании комиссионного обследования комиссией созданной при администрации поселения.</w:t>
      </w:r>
    </w:p>
    <w:p w:rsidR="009B362E" w:rsidRPr="009B362E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Расчетная протяженность автомобильных дорог соответствующей категории в поселении, подлежащих ремонту на год планирования (</w:t>
      </w:r>
      <w:proofErr w:type="spellStart"/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определяется по формуле:</w:t>
      </w:r>
    </w:p>
    <w:p w:rsidR="009B362E" w:rsidRPr="009B362E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L / </w:t>
      </w:r>
      <w:proofErr w:type="spellStart"/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Lрек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Lкап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рем.),</w:t>
      </w:r>
      <w:proofErr w:type="gramEnd"/>
    </w:p>
    <w:p w:rsidR="009B362E" w:rsidRPr="009B362E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362E" w:rsidRPr="009B362E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нормативный межремонтный срок по ремонту дорог каждой категории согласно таблице 2.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62E" w:rsidRPr="009B362E" w:rsidRDefault="009B362E" w:rsidP="009B36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Таблица № 2</w:t>
      </w:r>
    </w:p>
    <w:p w:rsidR="009B362E" w:rsidRPr="009B362E" w:rsidRDefault="009B362E" w:rsidP="009B36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Нормативные межремонтные сроки (лет)</w:t>
      </w:r>
    </w:p>
    <w:p w:rsidR="009B362E" w:rsidRPr="009B362E" w:rsidRDefault="009B362E" w:rsidP="009B36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(лет)</w:t>
      </w:r>
    </w:p>
    <w:p w:rsidR="009B362E" w:rsidRPr="009B362E" w:rsidRDefault="009B362E" w:rsidP="009B36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1255"/>
        <w:gridCol w:w="1255"/>
        <w:gridCol w:w="1396"/>
        <w:gridCol w:w="1400"/>
        <w:gridCol w:w="1397"/>
      </w:tblGrid>
      <w:tr w:rsidR="009B362E" w:rsidRPr="009B362E" w:rsidTr="007B4638">
        <w:trPr>
          <w:trHeight w:val="12"/>
        </w:trPr>
        <w:tc>
          <w:tcPr>
            <w:tcW w:w="3696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2E" w:rsidRPr="009B362E" w:rsidTr="007B463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дорог</w:t>
            </w:r>
          </w:p>
        </w:tc>
      </w:tr>
      <w:tr w:rsidR="009B362E" w:rsidRPr="009B362E" w:rsidTr="007B463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9B362E" w:rsidRPr="009B362E" w:rsidTr="007B463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362E" w:rsidRPr="009B362E" w:rsidTr="007B463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E70" w:rsidRDefault="00482E70"/>
    <w:sectPr w:rsidR="00482E70" w:rsidSect="00252891">
      <w:headerReference w:type="default" r:id="rId5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38" w:rsidRDefault="009B362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4338" w:rsidRDefault="009B3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9D"/>
    <w:rsid w:val="0000099D"/>
    <w:rsid w:val="00482E70"/>
    <w:rsid w:val="009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6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36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6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36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2017-01-09T08:05:00Z</dcterms:created>
  <dcterms:modified xsi:type="dcterms:W3CDTF">2017-01-09T08:07:00Z</dcterms:modified>
</cp:coreProperties>
</file>